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28 版，自 [ 2023 年 9 月 4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Compact"/>
        <w:numPr>
          <w:numId w:val="1001"/>
          <w:ilvl w:val="0"/>
        </w:numPr>
      </w:pPr>
      <w:r>
        <w:t xml:space="preserve">a) 位于北美和南美、瑞士（如下所定义）、南非、印度之外；</w:t>
      </w:r>
    </w:p>
    <w:p>
      <w:pPr>
        <w:pStyle w:val="Compact"/>
        <w:numPr>
          <w:numId w:val="1001"/>
          <w:ilvl w:val="0"/>
        </w:numPr>
      </w:pPr>
      <w:r>
        <w:t xml:space="preserve">b) 位于大不列颠及北爱尔兰联合王国并拥有有效的当地增值税 ID 号；</w:t>
      </w:r>
    </w:p>
    <w:p>
      <w:pPr>
        <w:pStyle w:val="FirstParagraph"/>
      </w:pPr>
      <w:r>
        <w:t xml:space="preserve">则</w:t>
      </w:r>
      <w:r>
        <w:t xml:space="preserve">“</w:t>
      </w:r>
      <w:r>
        <w:t xml:space="preserve">JetBrains</w:t>
      </w:r>
      <w:r>
        <w:t xml:space="preserve">”</w:t>
      </w:r>
      <w:r>
        <w:t xml:space="preserve"> </w:t>
      </w:r>
      <w:r>
        <w:t xml:space="preserve">是指 JetBrains s.r.o.，其主要营业地点位于 Na hřebenech II 1718/10,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Compact"/>
        <w:numPr>
          <w:numId w:val="1002"/>
          <w:ilvl w:val="0"/>
        </w:numPr>
      </w:pPr>
      <w:r>
        <w:t xml:space="preserve">a) 瑞士，并拥有有效的当地增值税 ID 号码；</w:t>
      </w:r>
    </w:p>
    <w:p>
      <w:pPr>
        <w:pStyle w:val="Compact"/>
        <w:numPr>
          <w:numId w:val="1002"/>
          <w:ilvl w:val="0"/>
        </w:numPr>
      </w:pPr>
      <w:r>
        <w:t xml:space="preserve">b) 南非;</w:t>
      </w:r>
    </w:p>
    <w:p>
      <w:pPr>
        <w:pStyle w:val="Compact"/>
        <w:numPr>
          <w:numId w:val="1002"/>
          <w:ilvl w:val="0"/>
        </w:numPr>
      </w:pPr>
      <w:r>
        <w:t xml:space="preserve">c) 印度；或</w:t>
      </w:r>
    </w:p>
    <w:p>
      <w:pPr>
        <w:pStyle w:val="Compact"/>
        <w:numPr>
          <w:numId w:val="1002"/>
          <w:ilvl w:val="0"/>
        </w:numPr>
      </w:pPr>
      <w:r>
        <w:t xml:space="preserve">d) 印度尼西亚；或</w:t>
      </w:r>
    </w:p>
    <w:p>
      <w:pPr>
        <w:pStyle w:val="Compact"/>
        <w:numPr>
          <w:numId w:val="1002"/>
          <w:ilvl w:val="0"/>
        </w:numPr>
      </w:pPr>
      <w:r>
        <w:t xml:space="preserve">e) 位于大不列颠王国及北爱尔兰联合王国并且没有有效的当地增值税 ID 号；</w:t>
      </w:r>
    </w:p>
    <w:p>
      <w:pPr>
        <w:pStyle w:val="FirstParagraph"/>
      </w:pPr>
      <w:r>
        <w:t xml:space="preserve">则</w:t>
      </w:r>
      <w:r>
        <w:t xml:space="preserve">“</w:t>
      </w:r>
      <w:r>
        <w:t xml:space="preserve">JetBrains</w:t>
      </w:r>
      <w:r>
        <w:t xml:space="preserve">”</w:t>
      </w:r>
      <w:r>
        <w:t xml:space="preserve"> </w:t>
      </w:r>
      <w:r>
        <w:t xml:space="preserve">是指 JetBrains Distributions s.r.o.，其主要营业地点位于 Na hřebenech II 1718/10,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是指捷并思（上海）信息技术有限责任公司，一家根据中华人民共和国法律成立的公司，其主要营业地点为上海市黄浦区蒙自路 757 号 35 楼 A51 室（实际 31 楼），公司的统一社会信用代码为 91310000MA1FPJY588。</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销售插件的任何平台，包括网站https://plugins.jetbrains.com 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r>
        <w:t xml:space="preserve"> </w:t>
      </w:r>
      <w:hyperlink r:id="rId23">
        <w:r>
          <w:rPr>
            <w:rStyle w:val="Hyperlink"/>
          </w:rPr>
          <w:t xml:space="preserve">在https://www.jetbrains.com/legal/websites/</w:t>
        </w:r>
      </w:hyperlink>
      <w:r>
        <w:t xml:space="preserve">.上列出的域名下的所有网站。</w:t>
      </w:r>
    </w:p>
    <w:p>
      <w:pPr>
        <w:pStyle w:val="BodyText"/>
      </w:pPr>
      <w:r>
        <w:t xml:space="preserve">10.</w:t>
      </w:r>
      <w:r>
        <w:t xml:space="preserve"> </w:t>
      </w:r>
      <w:r>
        <w:t xml:space="preserve">“</w:t>
      </w:r>
      <w:r>
        <w:t xml:space="preserve">使用条款</w:t>
      </w:r>
      <w:r>
        <w:t xml:space="preserve">”</w:t>
      </w:r>
      <w:r>
        <w:t xml:space="preserve">是指除采购条款外，由 JetBrains 规定的、适用于产品或插件的最终用户许可协议、订阅条款、服务条款或其他标准的客户协议中的条款和条件。</w:t>
      </w:r>
    </w:p>
    <w:p>
      <w:pPr>
        <w:pStyle w:val="BodyText"/>
      </w:pPr>
      <w:r>
        <w:t xml:space="preserve">11.</w:t>
      </w:r>
      <w:r>
        <w:t xml:space="preserve"> </w:t>
      </w:r>
      <w:r>
        <w:t xml:space="preserve">“</w:t>
      </w:r>
      <w:r>
        <w:t xml:space="preserve">隐私政策</w:t>
      </w:r>
      <w:r>
        <w:t xml:space="preserve">”</w:t>
      </w:r>
      <w:r>
        <w:t xml:space="preserve"> </w:t>
      </w:r>
      <w:r>
        <w:t xml:space="preserve">是指</w:t>
      </w:r>
      <w:r>
        <w:t xml:space="preserve"> </w:t>
      </w:r>
      <w:hyperlink r:id="rId24">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12.</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5" w:name="订单的下达和接受"/>
      <w:bookmarkEnd w:id="25"/>
      <w:r>
        <w:t xml:space="preserve">订单的下达和接受</w:t>
      </w:r>
    </w:p>
    <w:p>
      <w:pPr>
        <w:pStyle w:val="FirstParagraph"/>
      </w:pPr>
      <w:r>
        <w:t xml:space="preserve">客户可以通过以下方式向 JetBrains 下达订单：</w:t>
      </w:r>
    </w:p>
    <w:p>
      <w:pPr>
        <w:pStyle w:val="Compact"/>
        <w:numPr>
          <w:numId w:val="1003"/>
          <w:ilvl w:val="0"/>
        </w:numPr>
      </w:pPr>
      <w:r>
        <w:t xml:space="preserve">1. 在 JetBrains 网站上下达在线订单；或</w:t>
      </w:r>
    </w:p>
    <w:p>
      <w:pPr>
        <w:pStyle w:val="Compact"/>
        <w:numPr>
          <w:numId w:val="1003"/>
          <w:ilvl w:val="0"/>
        </w:numPr>
      </w:pPr>
      <w:r>
        <w:t xml:space="preserve">2. 通过向正确的JetBrains联系信息发送电子邮件的方式下达订单。</w:t>
      </w:r>
    </w:p>
    <w:p>
      <w:pPr>
        <w:pStyle w:val="FirstParagraph"/>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Compact"/>
        <w:numPr>
          <w:numId w:val="1004"/>
          <w:ilvl w:val="0"/>
        </w:numPr>
      </w:pPr>
      <w:r>
        <w:t xml:space="preserve">1. 付款失败；</w:t>
      </w:r>
    </w:p>
    <w:p>
      <w:pPr>
        <w:pStyle w:val="Compact"/>
        <w:numPr>
          <w:numId w:val="1004"/>
          <w:ilvl w:val="0"/>
        </w:numPr>
      </w:pPr>
      <w:r>
        <w:t xml:space="preserve">2. 未结订单持续增加或存在不良的付款历史；</w:t>
      </w:r>
    </w:p>
    <w:p>
      <w:pPr>
        <w:pStyle w:val="Compact"/>
        <w:numPr>
          <w:numId w:val="1004"/>
          <w:ilvl w:val="0"/>
        </w:numPr>
      </w:pPr>
      <w:r>
        <w:t xml:space="preserve">3. 订单的信息不完整或不正确，如缺少用于交付的电子邮件地址、缺少客户的账单地址，亦或定价或产品描述错误，等等；</w:t>
      </w:r>
    </w:p>
    <w:p>
      <w:pPr>
        <w:pStyle w:val="Compact"/>
        <w:numPr>
          <w:numId w:val="1004"/>
          <w:ilvl w:val="0"/>
        </w:numPr>
      </w:pPr>
      <w:r>
        <w:t xml:space="preserve">4. 不符合订单的特定条件标准（例如，升级的权利或采购某些产品或插件的权利仅适用于特定的用户或特定的使用目的）；或</w:t>
      </w:r>
    </w:p>
    <w:p>
      <w:pPr>
        <w:pStyle w:val="Compact"/>
        <w:numPr>
          <w:numId w:val="1004"/>
          <w:ilvl w:val="0"/>
        </w:numPr>
      </w:pPr>
      <w:r>
        <w:t xml:space="preserve">5. 任何由JetBrains 全权决定的其他理由。</w:t>
      </w:r>
    </w:p>
    <w:p>
      <w:pPr>
        <w:pStyle w:val="FirstParagraph"/>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客户可以在下一个周期扣款到期日之前在任何时候前往https://account.jetbrains.com 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6" w:name="产品交付"/>
      <w:bookmarkEnd w:id="26"/>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7" w:name="税款和扣税"/>
      <w:bookmarkEnd w:id="27"/>
      <w:r>
        <w:t xml:space="preserve">税款和扣税</w:t>
      </w:r>
    </w:p>
    <w:p>
      <w:pPr>
        <w:pStyle w:val="FirstParagraph"/>
      </w:pPr>
      <w:r>
        <w:t xml:space="preserve">产品和插件的价格不包括任何国家、州或当地的销售税、使用税、增值税（VAT）、商品及服务税（GST）、数字服务税（DST）或其他税收（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 </w:t>
      </w:r>
    </w:p>
    <w:p>
      <w:pPr>
        <w:pStyle w:val="Heading2"/>
      </w:pPr>
      <w:bookmarkStart w:id="28" w:name="未付款的暂停使用"/>
      <w:bookmarkEnd w:id="28"/>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产品和/或插件的访问，客户必须支付全部未支付的款项，才可以恢复对 JetBrains 产品和/或插件的访问。客户在此同意，在产品和/或插件的暂停期间内 JetBrains 仍有权就客户采购的JetBrains 产品和/或插件订阅的整个订阅期间向客户收费。</w:t>
      </w:r>
    </w:p>
    <w:p>
      <w:pPr>
        <w:pStyle w:val="Heading2"/>
      </w:pPr>
      <w:bookmarkStart w:id="29" w:name="退款撤销和支持"/>
      <w:bookmarkEnd w:id="29"/>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0">
        <w:r>
          <w:rPr>
            <w:rStyle w:val="Hyperlink"/>
          </w:rPr>
          <w:t xml:space="preserve">https://www.jetbrains.com/support/</w:t>
        </w:r>
      </w:hyperlink>
    </w:p>
    <w:p>
      <w:pPr>
        <w:pStyle w:val="BodyText"/>
      </w:pPr>
      <w:r>
        <w:t xml:space="preserve">销售支持：</w:t>
      </w:r>
      <w:hyperlink r:id="rId31">
        <w:r>
          <w:rPr>
            <w:rStyle w:val="Hyperlink"/>
          </w:rPr>
          <w:t xml:space="preserve">https://www.jetbrains.com/support/sales/#email-sales</w:t>
        </w:r>
      </w:hyperlink>
    </w:p>
    <w:p>
      <w:pPr>
        <w:pStyle w:val="BodyText"/>
      </w:pPr>
      <w:r>
        <w:t xml:space="preserve">任何作为个人消费者的客户有权要求：</w:t>
      </w:r>
    </w:p>
    <w:p>
      <w:pPr>
        <w:pStyle w:val="Compact"/>
        <w:numPr>
          <w:numId w:val="1005"/>
          <w:ilvl w:val="0"/>
        </w:numPr>
      </w:pPr>
      <w:r>
        <w:t xml:space="preserve">1. 毫不延迟地免费消除任何缺陷</w:t>
      </w:r>
    </w:p>
    <w:p>
      <w:pPr>
        <w:pStyle w:val="Compact"/>
        <w:numPr>
          <w:numId w:val="1005"/>
          <w:ilvl w:val="0"/>
        </w:numPr>
      </w:pPr>
      <w:r>
        <w:t xml:space="preserve">2. 如果无法消除，则要求提供与产品和/或插件的实际故障相应的适当折扣。</w:t>
      </w:r>
    </w:p>
    <w:p>
      <w:pPr>
        <w:pStyle w:val="FirstParagraph"/>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2" w:name="出口管制"/>
      <w:bookmarkEnd w:id="32"/>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Compact"/>
        <w:numPr>
          <w:numId w:val="1006"/>
          <w:ilvl w:val="0"/>
        </w:numPr>
      </w:pPr>
      <w:r>
        <w:t xml:space="preserve">1. 不会在违反出口管制法的情形下被直接或间接地下载、转让、出口或再出口；或</w:t>
      </w:r>
    </w:p>
    <w:p>
      <w:pPr>
        <w:pStyle w:val="Compact"/>
        <w:numPr>
          <w:numId w:val="1006"/>
          <w:ilvl w:val="0"/>
        </w:numPr>
      </w:pPr>
      <w:r>
        <w:t xml:space="preserve">2. 不会被用于出口管制法禁止的任何目的，包括但不限于核、化学或生物武器的扩散；或</w:t>
      </w:r>
    </w:p>
    <w:p>
      <w:pPr>
        <w:pStyle w:val="Compact"/>
        <w:numPr>
          <w:numId w:val="1006"/>
          <w:ilvl w:val="0"/>
        </w:numPr>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Compact"/>
        <w:numPr>
          <w:numId w:val="1006"/>
          <w:ilvl w:val="0"/>
        </w:numPr>
      </w:pPr>
      <w:r>
        <w:t xml:space="preserve">4. 不会参与被禁止的最终用途和/或扩散活动。</w:t>
      </w:r>
    </w:p>
    <w:p>
      <w:pPr>
        <w:pStyle w:val="FirstParagraph"/>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3" w:name="其他"/>
      <w:bookmarkEnd w:id="33"/>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4">
        <w:r>
          <w:rPr>
            <w:rStyle w:val="Hyperlink"/>
          </w:rPr>
          <w:t xml:space="preserve">www.coi.cz</w:t>
        </w:r>
      </w:hyperlink>
      <w:r>
        <w:t xml:space="preserve">）或以下指定的在线平台：</w:t>
      </w:r>
      <w:hyperlink r:id="rId35">
        <w:r>
          <w:rPr>
            <w:rStyle w:val="Hyperlink"/>
          </w:rPr>
          <w:t xml:space="preserve">https://webgate.ec.europa.eu/</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6" w:name="个人数据"/>
      <w:bookmarkEnd w:id="36"/>
      <w:r>
        <w:t xml:space="preserve">个人数据</w:t>
      </w:r>
    </w:p>
    <w:p>
      <w:pPr>
        <w:pStyle w:val="FirstParagraph"/>
      </w:pPr>
      <w:r>
        <w:t xml:space="preserve">与客户采购产品和插件相关，JetBrains 和 JetBrains 关联公司将为以下目的处理客户的个人数据，特别是客户的联系方式和身份资料以及与客户的订阅和付款有关的信息：</w:t>
      </w:r>
    </w:p>
    <w:p>
      <w:pPr>
        <w:pStyle w:val="Compact"/>
        <w:numPr>
          <w:numId w:val="1007"/>
          <w:ilvl w:val="0"/>
        </w:numPr>
      </w:pPr>
      <w:r>
        <w:t xml:space="preserve">1. 向客户提供软件服务或信息；</w:t>
      </w:r>
    </w:p>
    <w:p>
      <w:pPr>
        <w:pStyle w:val="Compact"/>
        <w:numPr>
          <w:numId w:val="1007"/>
          <w:ilvl w:val="0"/>
        </w:numPr>
      </w:pPr>
      <w:r>
        <w:t xml:space="preserve">2. 保护 JetBrains 免受盗版和非法使用 JetBrains 软件或服务的侵害；</w:t>
      </w:r>
    </w:p>
    <w:p>
      <w:pPr>
        <w:pStyle w:val="Compact"/>
        <w:numPr>
          <w:numId w:val="1007"/>
          <w:ilvl w:val="0"/>
        </w:numPr>
      </w:pPr>
      <w:r>
        <w:t xml:space="preserve">3. 根据使用情况改进 JetBrains 提供的产品和服务；</w:t>
      </w:r>
    </w:p>
    <w:p>
      <w:pPr>
        <w:pStyle w:val="Compact"/>
        <w:numPr>
          <w:numId w:val="1007"/>
          <w:ilvl w:val="0"/>
        </w:numPr>
      </w:pPr>
      <w:r>
        <w:t xml:space="preserve">4. 为保护 JetBrains 和其他用户的权利和利益而用作JetBrains 的内部证据；</w:t>
      </w:r>
    </w:p>
    <w:p>
      <w:pPr>
        <w:pStyle w:val="Compact"/>
        <w:numPr>
          <w:numId w:val="1007"/>
          <w:ilvl w:val="0"/>
        </w:numPr>
      </w:pPr>
      <w:r>
        <w:t xml:space="preserve">5. 向客户推广和营销 JetBrains 的软件和服务；以及</w:t>
      </w:r>
    </w:p>
    <w:p>
      <w:pPr>
        <w:pStyle w:val="Compact"/>
        <w:numPr>
          <w:numId w:val="1007"/>
          <w:ilvl w:val="0"/>
        </w:numPr>
      </w:pPr>
      <w:r>
        <w:t xml:space="preserve">6. 履行会计法、税法和其他法律规定的法律责任。</w:t>
      </w:r>
    </w:p>
    <w:p>
      <w:pPr>
        <w:pStyle w:val="FirstParagraph"/>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Compact"/>
        <w:numPr>
          <w:numId w:val="1008"/>
          <w:ilvl w:val="0"/>
        </w:numPr>
      </w:pPr>
      <w:r>
        <w:t xml:space="preserve">1. 转移给</w:t>
      </w:r>
      <w:r>
        <w:t xml:space="preserve"> </w:t>
      </w:r>
      <w:hyperlink r:id="rId37">
        <w:r>
          <w:rPr>
            <w:rStyle w:val="Hyperlink"/>
          </w:rPr>
          <w:t xml:space="preserve">第三方</w:t>
        </w:r>
      </w:hyperlink>
      <w:r>
        <w:t xml:space="preserve">支付供应商，以处理支付交易；</w:t>
      </w:r>
    </w:p>
    <w:p>
      <w:pPr>
        <w:pStyle w:val="Compact"/>
        <w:numPr>
          <w:numId w:val="1008"/>
          <w:ilvl w:val="0"/>
        </w:numPr>
      </w:pPr>
      <w:r>
        <w:t xml:space="preserve">2.</w:t>
      </w:r>
      <w:r>
        <w:t xml:space="preserve"> </w:t>
      </w:r>
      <w:hyperlink r:id="rId37">
        <w:r>
          <w:rPr>
            <w:rStyle w:val="Hyperlink"/>
          </w:rPr>
          <w:t xml:space="preserve">第三方</w:t>
        </w:r>
      </w:hyperlink>
      <w:r>
        <w:t xml:space="preserve">云端会计服务；</w:t>
      </w:r>
    </w:p>
    <w:p>
      <w:pPr>
        <w:pStyle w:val="Compact"/>
        <w:numPr>
          <w:numId w:val="1008"/>
          <w:ilvl w:val="0"/>
        </w:numPr>
      </w:pPr>
      <w:r>
        <w:t xml:space="preserve">3. 在特定区域负责 JetBrains 产品采购的经销商。在向经销商转移数据前，我们会向客户说明接收客户个人数据的经销商的信息；</w:t>
      </w:r>
    </w:p>
    <w:p>
      <w:pPr>
        <w:pStyle w:val="Compact"/>
        <w:numPr>
          <w:numId w:val="1008"/>
          <w:ilvl w:val="0"/>
        </w:numPr>
      </w:pPr>
      <w:r>
        <w:t xml:space="preserve">4. 同一客户的其他代表；或</w:t>
      </w:r>
    </w:p>
    <w:p>
      <w:pPr>
        <w:pStyle w:val="Compact"/>
        <w:numPr>
          <w:numId w:val="1008"/>
          <w:ilvl w:val="0"/>
        </w:numPr>
      </w:pPr>
      <w:r>
        <w:t xml:space="preserve">5. 第三方插件供应商。</w:t>
      </w:r>
    </w:p>
    <w:p>
      <w:pPr>
        <w:pStyle w:val="FirstParagraph"/>
      </w:pPr>
      <w:r>
        <w:t xml:space="preserve">为避免产生服务中断，JetBrains 可能会向客户发送电子邮件来与客户沟通相关事宜。 例子包括但不限于：</w:t>
      </w:r>
    </w:p>
    <w:p>
      <w:pPr>
        <w:pStyle w:val="Compact"/>
        <w:numPr>
          <w:numId w:val="1009"/>
          <w:ilvl w:val="0"/>
        </w:numPr>
      </w:pPr>
      <w:r>
        <w:t xml:space="preserve">1. 付款提醒；</w:t>
      </w:r>
    </w:p>
    <w:p>
      <w:pPr>
        <w:pStyle w:val="Compact"/>
        <w:numPr>
          <w:numId w:val="1009"/>
          <w:ilvl w:val="0"/>
        </w:numPr>
      </w:pPr>
      <w:r>
        <w:t xml:space="preserve">2. 债务提醒；</w:t>
      </w:r>
    </w:p>
    <w:p>
      <w:pPr>
        <w:pStyle w:val="Compact"/>
        <w:numPr>
          <w:numId w:val="1009"/>
          <w:ilvl w:val="0"/>
        </w:numPr>
      </w:pPr>
      <w:r>
        <w:t xml:space="preserve">3. 许可证过期提醒；</w:t>
      </w:r>
    </w:p>
    <w:p>
      <w:pPr>
        <w:pStyle w:val="Compact"/>
        <w:numPr>
          <w:numId w:val="1009"/>
          <w:ilvl w:val="0"/>
        </w:numPr>
      </w:pPr>
      <w:r>
        <w:t xml:space="preserve">4. 许可证交付和确认电子邮件；</w:t>
      </w:r>
    </w:p>
    <w:p>
      <w:pPr>
        <w:pStyle w:val="Compact"/>
        <w:numPr>
          <w:numId w:val="1009"/>
          <w:ilvl w:val="0"/>
        </w:numPr>
      </w:pPr>
      <w:r>
        <w:t xml:space="preserve">5. 许可证自动支付绑定的信用卡的到期提醒；</w:t>
      </w:r>
    </w:p>
    <w:p>
      <w:pPr>
        <w:pStyle w:val="Compact"/>
        <w:numPr>
          <w:numId w:val="1009"/>
          <w:ilvl w:val="0"/>
        </w:numPr>
      </w:pPr>
      <w:r>
        <w:t xml:space="preserve">6. 采购跟进，包括为加强客户服务而要求客户提供公司的相关信息；</w:t>
      </w:r>
    </w:p>
    <w:p>
      <w:pPr>
        <w:pStyle w:val="Compact"/>
        <w:numPr>
          <w:numId w:val="1009"/>
          <w:ilvl w:val="0"/>
        </w:numPr>
      </w:pPr>
      <w:r>
        <w:t xml:space="preserve">7. 许可证分配电子邮件；</w:t>
      </w:r>
    </w:p>
    <w:p>
      <w:pPr>
        <w:pStyle w:val="Compact"/>
        <w:numPr>
          <w:numId w:val="1009"/>
          <w:ilvl w:val="0"/>
        </w:numPr>
      </w:pPr>
      <w:r>
        <w:t xml:space="preserve">8. 管理员邀请电子邮件；以及</w:t>
      </w:r>
    </w:p>
    <w:p>
      <w:pPr>
        <w:pStyle w:val="Compact"/>
        <w:numPr>
          <w:numId w:val="1009"/>
          <w:ilvl w:val="0"/>
        </w:numPr>
      </w:pPr>
      <w:r>
        <w:t xml:space="preserve">9. 采购管理请求。</w:t>
      </w:r>
    </w:p>
    <w:p>
      <w:pPr>
        <w:pStyle w:val="FirstParagraph"/>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2cddb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d07d270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ebgate.ec.europa.eu/odr/"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ebgate.ec.europa.eu/odr/"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2025-12-11T15:22:22Z</dcterms:created>
  <dcterms:modified xsi:type="dcterms:W3CDTF">2025-12-11T15:22:22Z</dcterms:modified>
</cp:coreProperties>
</file>