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3.3, effective as of May 4, 2023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 and (ii) use the Product in</w:t>
      </w:r>
      <w:r>
        <w:t xml:space="preserve"> </w:t>
      </w:r>
      <w:r>
        <w:t xml:space="preserve">compliance with this EAP Agreement and applicable laws.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Notice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Notice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1718/8,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769c7c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2025-12-11T15:11:59Z</dcterms:created>
  <dcterms:modified xsi:type="dcterms:W3CDTF">2025-12-11T15:11:59Z</dcterms:modified>
</cp:coreProperties>
</file>