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3.2, effective as of March 23,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Product; (ii) use the Product in</w:t>
      </w:r>
      <w:r>
        <w:t xml:space="preserve"> </w:t>
      </w:r>
      <w:r>
        <w:t xml:space="preserve">compliance with this EAP Agreement and applicable laws; and (iii) register your use of the Product on the</w:t>
      </w:r>
      <w:r>
        <w:t xml:space="preserve"> </w:t>
      </w:r>
      <w:r>
        <w:t xml:space="preserve">JetBrains Website. You must provide JetBrains with a valid email address and other accurate information as</w:t>
      </w:r>
      <w:r>
        <w:t xml:space="preserve"> </w:t>
      </w:r>
      <w:r>
        <w:t xml:space="preserve">requested by the registration form on the JetBrains Website.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Policy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5343c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2025-12-11T15:12:14Z</dcterms:created>
  <dcterms:modified xsi:type="dcterms:W3CDTF">2025-12-11T15:12:14Z</dcterms:modified>
</cp:coreProperties>
</file>