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2.2, effective as of December 2,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the list of which is available at:</w:t>
      </w:r>
      <w:r>
        <w:t xml:space="preserve"> </w:t>
      </w:r>
      <w:hyperlink r:id="rId22">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w:t>
      </w:r>
      <w:r>
        <w:t xml:space="preserve">available at</w:t>
      </w:r>
      <w:r>
        <w:t xml:space="preserve"> </w:t>
      </w:r>
      <w:hyperlink r:id="rId23">
        <w:r>
          <w:rPr>
            <w:rStyle w:val="Hyperlink"/>
          </w:rPr>
          <w:t xml:space="preserve">https://www.jetbrains.com/</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the form available at:</w:t>
      </w:r>
      <w:r>
        <w:t xml:space="preserve"> </w:t>
      </w:r>
      <w:hyperlink r:id="rId26">
        <w:r>
          <w:rPr>
            <w:rStyle w:val="Hyperlink"/>
          </w:rPr>
          <w:t xml:space="preserve">https://legal-support.jetbrains.com/hc/en-us/requests/new?ticket_form_id=25303349936530</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 at:</w:t>
      </w:r>
      <w:r>
        <w:t xml:space="preserve"> </w:t>
      </w:r>
      <w:hyperlink r:id="rId28">
        <w:r>
          <w:rPr>
            <w:rStyle w:val="Hyperlink"/>
          </w:rPr>
          <w:t xml:space="preserve">https://www.jetbrains.com/legal/docs/terms/jetbrains-ai/service-territory/</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 Additionally, you should refrain from submitting</w:t>
      </w:r>
      <w:r>
        <w:t xml:space="preserve"> </w:t>
      </w:r>
      <w:r>
        <w:t xml:space="preserve">‘</w:t>
      </w:r>
      <w:r>
        <w:t xml:space="preserve">protected health information</w:t>
      </w:r>
      <w:r>
        <w:t xml:space="preserve">’</w:t>
      </w:r>
      <w:r>
        <w:t xml:space="preserve">, as defined under the HIPAA Privacy Rule (45 C.F.R. § 160.103), to the Products.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that compete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3fb2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2025-12-11T15:19:08Z</dcterms:created>
  <dcterms:modified xsi:type="dcterms:W3CDTF">2025-12-11T15:19:08Z</dcterms:modified>
</cp:coreProperties>
</file>