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18, effective as of December 10,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pStyle w:val="Compact"/>
        <w:numPr>
          <w:numId w:val="1003"/>
          <w:ilvl w:val="2"/>
        </w:numPr>
      </w:pPr>
      <w:r>
        <w:t xml:space="preserve">c) Russian Federation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 stated in these Purchase Terms.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BodyText"/>
      </w:pPr>
      <w:r>
        <w:t xml:space="preserve">If the Customer is located in the Russian Federation, Product means only YouTrack and Datalore and no other JetBrains</w:t>
      </w:r>
      <w:r>
        <w:t xml:space="preserve"> </w:t>
      </w:r>
      <w:r>
        <w:t xml:space="preserve">products whatsoever. Provision of JetBrains products other than YouTrack and Datalore to Customers located in the</w:t>
      </w:r>
      <w:r>
        <w:t xml:space="preserve"> </w:t>
      </w:r>
      <w:r>
        <w:t xml:space="preserve">Russian Federation is not governed by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1 to 4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f45d0b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9eabae36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bc8ebd9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2025-12-11T15:20:54Z</dcterms:created>
  <dcterms:modified xsi:type="dcterms:W3CDTF">2025-12-11T15:20:54Z</dcterms:modified>
</cp:coreProperties>
</file>