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3.10, effective as of January 27, 2026</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 Inc.</w:t>
              </w:r>
            </w:hyperlink>
            <w:r>
              <w:t xml:space="preserve"> </w:t>
            </w:r>
            <w:r>
              <w:t xml:space="preserve">(U.S.)</w:t>
            </w:r>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Compact"/>
        <w:numPr>
          <w:numId w:val="1001"/>
          <w:ilvl w:val="0"/>
        </w:numPr>
      </w:pPr>
      <w:r>
        <w:t xml:space="preserve">Providers of hosting for JetBrains’ internal applications, productivity tools, and email and file storage</w:t>
      </w:r>
      <w:r>
        <w:t xml:space="preserve"> </w:t>
      </w:r>
      <w:r>
        <w:t xml:space="preserve">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w:t>
      </w:r>
      <w:r>
        <w:t xml:space="preserve"> </w:t>
      </w:r>
      <w:hyperlink r:id="rId30">
        <w:r>
          <w:rPr>
            <w:rStyle w:val="Hyperlink"/>
          </w:rPr>
          <w:t xml:space="preserve">Slack</w:t>
        </w:r>
      </w:hyperlink>
      <w:r>
        <w:t xml:space="preserve">,</w:t>
      </w:r>
      <w:r>
        <w:t xml:space="preserve"> </w:t>
      </w:r>
      <w:hyperlink r:id="rId31">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Compact"/>
        <w:numPr>
          <w:numId w:val="1001"/>
          <w:ilvl w:val="0"/>
        </w:numPr>
      </w:pPr>
      <w:r>
        <w:t xml:space="preserve">Providers of messaging services, such as</w:t>
      </w:r>
      <w:r>
        <w:t xml:space="preserve"> </w:t>
      </w:r>
      <w:hyperlink r:id="rId32">
        <w:r>
          <w:rPr>
            <w:rStyle w:val="Hyperlink"/>
          </w:rPr>
          <w:t xml:space="preserve">Marketo</w:t>
        </w:r>
      </w:hyperlink>
      <w:r>
        <w:t xml:space="preserve">;</w:t>
      </w:r>
    </w:p>
    <w:p>
      <w:pPr>
        <w:pStyle w:val="Compact"/>
        <w:numPr>
          <w:numId w:val="1001"/>
          <w:ilvl w:val="0"/>
        </w:numPr>
      </w:pPr>
      <w:r>
        <w:t xml:space="preserve">Providers of authentication services, such as</w:t>
      </w:r>
      <w:r>
        <w:t xml:space="preserve"> </w:t>
      </w:r>
      <w:hyperlink r:id="rId33">
        <w:r>
          <w:rPr>
            <w:rStyle w:val="Hyperlink"/>
          </w:rPr>
          <w:t xml:space="preserve">Google</w:t>
        </w:r>
      </w:hyperlink>
      <w:r>
        <w:t xml:space="preserve">,</w:t>
      </w:r>
      <w:r>
        <w:t xml:space="preserve"> </w:t>
      </w:r>
      <w:hyperlink r:id="rId34">
        <w:r>
          <w:rPr>
            <w:rStyle w:val="Hyperlink"/>
          </w:rPr>
          <w:t xml:space="preserve">GitHub</w:t>
        </w:r>
      </w:hyperlink>
      <w:r>
        <w:t xml:space="preserve">,</w:t>
      </w:r>
      <w:r>
        <w:t xml:space="preserve"> </w:t>
      </w:r>
      <w:hyperlink r:id="rId35">
        <w:r>
          <w:rPr>
            <w:rStyle w:val="Hyperlink"/>
          </w:rPr>
          <w:t xml:space="preserve">GitLab</w:t>
        </w:r>
      </w:hyperlink>
      <w:r>
        <w:t xml:space="preserve">, or</w:t>
      </w:r>
      <w:r>
        <w:t xml:space="preserve"> </w:t>
      </w:r>
      <w:hyperlink r:id="rId36">
        <w:r>
          <w:rPr>
            <w:rStyle w:val="Hyperlink"/>
          </w:rPr>
          <w:t xml:space="preserve">BitBucket</w:t>
        </w:r>
      </w:hyperlink>
      <w:r>
        <w:t xml:space="preserve">;</w:t>
      </w:r>
    </w:p>
    <w:p>
      <w:pPr>
        <w:pStyle w:val="Compact"/>
        <w:numPr>
          <w:numId w:val="1001"/>
          <w:ilvl w:val="0"/>
        </w:numPr>
      </w:pPr>
      <w:r>
        <w:t xml:space="preserve">Payment services providers, such as</w:t>
      </w:r>
      <w:r>
        <w:t xml:space="preserve"> </w:t>
      </w:r>
      <w:hyperlink r:id="rId37">
        <w:r>
          <w:rPr>
            <w:rStyle w:val="Hyperlink"/>
          </w:rPr>
          <w:t xml:space="preserve">Adyen</w:t>
        </w:r>
      </w:hyperlink>
      <w:r>
        <w:t xml:space="preserve"> </w:t>
      </w:r>
      <w:r>
        <w:t xml:space="preserve">or</w:t>
      </w:r>
      <w:r>
        <w:t xml:space="preserve"> </w:t>
      </w:r>
      <w:hyperlink r:id="rId38">
        <w:r>
          <w:rPr>
            <w:rStyle w:val="Hyperlink"/>
          </w:rPr>
          <w:t xml:space="preserve">Braintree</w:t>
        </w:r>
      </w:hyperlink>
      <w:r>
        <w:t xml:space="preserve">;</w:t>
      </w:r>
    </w:p>
    <w:p>
      <w:pPr>
        <w:pStyle w:val="Compact"/>
        <w:numPr>
          <w:numId w:val="1001"/>
          <w:ilvl w:val="0"/>
        </w:numPr>
      </w:pPr>
      <w:r>
        <w:t xml:space="preserve">Providers of billing, accounting, and taxation platforms, such as</w:t>
      </w:r>
      <w:r>
        <w:t xml:space="preserve"> </w:t>
      </w:r>
      <w:hyperlink r:id="rId39">
        <w:r>
          <w:rPr>
            <w:rStyle w:val="Hyperlink"/>
          </w:rPr>
          <w:t xml:space="preserve">NetSuite</w:t>
        </w:r>
      </w:hyperlink>
      <w:r>
        <w:t xml:space="preserve">,</w:t>
      </w:r>
      <w:r>
        <w:t xml:space="preserve"> </w:t>
      </w:r>
      <w:hyperlink r:id="rId40">
        <w:r>
          <w:rPr>
            <w:rStyle w:val="Hyperlink"/>
          </w:rPr>
          <w:t xml:space="preserve">Avalara</w:t>
        </w:r>
      </w:hyperlink>
      <w:r>
        <w:t xml:space="preserve">, or</w:t>
      </w:r>
      <w:r>
        <w:t xml:space="preserve"> </w:t>
      </w:r>
      <w:hyperlink r:id="rId41">
        <w:r>
          <w:rPr>
            <w:rStyle w:val="Hyperlink"/>
          </w:rPr>
          <w:t xml:space="preserve">Taxamo</w:t>
        </w:r>
      </w:hyperlink>
      <w:r>
        <w:t xml:space="preserve">;</w:t>
      </w:r>
    </w:p>
    <w:p>
      <w:pPr>
        <w:pStyle w:val="Compact"/>
        <w:numPr>
          <w:numId w:val="1001"/>
          <w:ilvl w:val="0"/>
        </w:numPr>
      </w:pPr>
      <w:r>
        <w:t xml:space="preserve">Anonymous analytics providers, such as</w:t>
      </w:r>
      <w:r>
        <w:t xml:space="preserve"> </w:t>
      </w:r>
      <w:hyperlink r:id="rId42">
        <w:r>
          <w:rPr>
            <w:rStyle w:val="Hyperlink"/>
          </w:rPr>
          <w:t xml:space="preserve">Google</w:t>
        </w:r>
      </w:hyperlink>
      <w:r>
        <w:t xml:space="preserve"> </w:t>
      </w:r>
      <w:r>
        <w:t xml:space="preserve">(Google</w:t>
      </w:r>
      <w:r>
        <w:t xml:space="preserve"> </w:t>
      </w:r>
      <w:r>
        <w:t xml:space="preserve">Analytics, Google Tag Manager, and Google DoubleClick) for analytics on our websites,</w:t>
      </w:r>
      <w:r>
        <w:t xml:space="preserve"> </w:t>
      </w:r>
      <w:hyperlink r:id="rId43">
        <w:r>
          <w:rPr>
            <w:rStyle w:val="Hyperlink"/>
          </w:rPr>
          <w:t xml:space="preserve">HotJar</w:t>
        </w:r>
      </w:hyperlink>
      <w:r>
        <w:t xml:space="preserve"> </w:t>
      </w:r>
      <w:r>
        <w:t xml:space="preserve">for analytics on our websites, or</w:t>
      </w:r>
      <w:r>
        <w:t xml:space="preserve"> </w:t>
      </w:r>
      <w:hyperlink r:id="rId44">
        <w:r>
          <w:rPr>
            <w:rStyle w:val="Hyperlink"/>
          </w:rPr>
          <w:t xml:space="preserve">Bugsnag</w:t>
        </w:r>
      </w:hyperlink>
      <w:r>
        <w:t xml:space="preserve"> </w:t>
      </w:r>
      <w:r>
        <w:t xml:space="preserve">for analytics in our mobile apps.</w:t>
      </w:r>
    </w:p>
    <w:p>
      <w:pPr>
        <w:pStyle w:val="FirstParagraph"/>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Compact"/>
        <w:numPr>
          <w:numId w:val="1002"/>
          <w:ilvl w:val="0"/>
        </w:numPr>
      </w:pPr>
      <w:r>
        <w:t xml:space="preserve">Customer quizzes or surveys, such as</w:t>
      </w:r>
      <w:r>
        <w:t xml:space="preserve"> </w:t>
      </w:r>
      <w:hyperlink r:id="rId45">
        <w:r>
          <w:rPr>
            <w:rStyle w:val="Hyperlink"/>
          </w:rPr>
          <w:t xml:space="preserve">Alchemer</w:t>
        </w:r>
      </w:hyperlink>
      <w:r>
        <w:t xml:space="preserve">,</w:t>
      </w:r>
      <w:r>
        <w:t xml:space="preserve"> </w:t>
      </w:r>
      <w:hyperlink r:id="rId46">
        <w:r>
          <w:rPr>
            <w:rStyle w:val="Hyperlink"/>
          </w:rPr>
          <w:t xml:space="preserve">QuickTapSurvey</w:t>
        </w:r>
      </w:hyperlink>
      <w:r>
        <w:t xml:space="preserve">, or</w:t>
      </w:r>
      <w:r>
        <w:t xml:space="preserve"> </w:t>
      </w:r>
      <w:hyperlink r:id="rId47">
        <w:r>
          <w:rPr>
            <w:rStyle w:val="Hyperlink"/>
          </w:rPr>
          <w:t xml:space="preserve">HotJar</w:t>
        </w:r>
      </w:hyperlink>
      <w:r>
        <w:t xml:space="preserve">;</w:t>
      </w:r>
    </w:p>
    <w:p>
      <w:pPr>
        <w:pStyle w:val="Compact"/>
        <w:numPr>
          <w:numId w:val="1002"/>
          <w:ilvl w:val="0"/>
        </w:numPr>
      </w:pPr>
      <w:r>
        <w:t xml:space="preserve">Hosting webinars, such as</w:t>
      </w:r>
      <w:r>
        <w:t xml:space="preserve"> </w:t>
      </w:r>
      <w:hyperlink r:id="rId48">
        <w:r>
          <w:rPr>
            <w:rStyle w:val="Hyperlink"/>
          </w:rPr>
          <w:t xml:space="preserve">Goldcast</w:t>
        </w:r>
      </w:hyperlink>
      <w:r>
        <w:t xml:space="preserve">;</w:t>
      </w:r>
    </w:p>
    <w:p>
      <w:pPr>
        <w:pStyle w:val="Compact"/>
        <w:numPr>
          <w:numId w:val="1002"/>
          <w:ilvl w:val="0"/>
        </w:numPr>
      </w:pPr>
      <w:r>
        <w:t xml:space="preserve">Third-party functionalities that process personal data on our websites (analytics, search bars, etc.), such</w:t>
      </w:r>
      <w:r>
        <w:t xml:space="preserve"> </w:t>
      </w:r>
      <w:r>
        <w:t xml:space="preserve">as</w:t>
      </w:r>
      <w:r>
        <w:t xml:space="preserve"> </w:t>
      </w:r>
      <w:hyperlink r:id="rId42">
        <w:r>
          <w:rPr>
            <w:rStyle w:val="Hyperlink"/>
          </w:rPr>
          <w:t xml:space="preserve">Google</w:t>
        </w:r>
      </w:hyperlink>
      <w:r>
        <w:t xml:space="preserve"> </w:t>
      </w:r>
      <w:r>
        <w:t xml:space="preserve">(Google Analytics, Google Tag Manager),</w:t>
      </w:r>
      <w:r>
        <w:t xml:space="preserve"> </w:t>
      </w:r>
      <w:hyperlink r:id="rId47">
        <w:r>
          <w:rPr>
            <w:rStyle w:val="Hyperlink"/>
          </w:rPr>
          <w:t xml:space="preserve">HotJar</w:t>
        </w:r>
      </w:hyperlink>
      <w:r>
        <w:t xml:space="preserve">,</w:t>
      </w:r>
      <w:r>
        <w:t xml:space="preserve"> </w:t>
      </w:r>
      <w:hyperlink r:id="rId49">
        <w:r>
          <w:rPr>
            <w:rStyle w:val="Hyperlink"/>
          </w:rPr>
          <w:t xml:space="preserve">Algolia</w:t>
        </w:r>
      </w:hyperlink>
      <w:r>
        <w:t xml:space="preserve">, or</w:t>
      </w:r>
      <w:r>
        <w:t xml:space="preserve"> </w:t>
      </w:r>
      <w:hyperlink r:id="rId50">
        <w:r>
          <w:rPr>
            <w:rStyle w:val="Hyperlink"/>
          </w:rPr>
          <w:t xml:space="preserve">New Relic</w:t>
        </w:r>
      </w:hyperlink>
      <w:r>
        <w:t xml:space="preserve">;</w:t>
      </w:r>
    </w:p>
    <w:p>
      <w:pPr>
        <w:pStyle w:val="Compact"/>
        <w:numPr>
          <w:numId w:val="1002"/>
          <w:ilvl w:val="0"/>
        </w:numPr>
      </w:pPr>
      <w:r>
        <w:t xml:space="preserve">Providing demos or other types of communication through our</w:t>
      </w:r>
      <w:r>
        <w:t xml:space="preserve"> </w:t>
      </w:r>
      <w:hyperlink r:id="rId51">
        <w:r>
          <w:rPr>
            <w:rStyle w:val="Hyperlink"/>
          </w:rPr>
          <w:t xml:space="preserve">consulting partners,</w:t>
        </w:r>
      </w:hyperlink>
    </w:p>
    <w:p>
      <w:pPr>
        <w:pStyle w:val="FirstParagraph"/>
      </w:pPr>
      <w:r>
        <w:t xml:space="preserve">The providers and entities in Section B process the data on behalf of JetBrains as a controller and are engaged</w:t>
      </w:r>
      <w:r>
        <w:t xml:space="preserve"> </w:t>
      </w:r>
      <w:r>
        <w:t xml:space="preserve">by JetBrains as described in the</w:t>
      </w:r>
      <w:r>
        <w:t xml:space="preserve"> </w:t>
      </w:r>
      <w:hyperlink r:id="rId52">
        <w:r>
          <w:rPr>
            <w:rStyle w:val="Hyperlink"/>
          </w:rPr>
          <w:t xml:space="preserve">Privacy</w:t>
        </w:r>
        <w:r>
          <w:rPr>
            <w:rStyle w:val="Hyperlink"/>
          </w:rPr>
          <w:t xml:space="preserve"> </w:t>
        </w:r>
        <w:r>
          <w:rPr>
            <w:rStyle w:val="Hyperlink"/>
          </w:rPr>
          <w:t xml:space="preserve">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3">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 We may also engage processors such as</w:t>
      </w:r>
      <w:r>
        <w:t xml:space="preserve"> </w:t>
      </w:r>
      <w:hyperlink r:id="rId54">
        <w:r>
          <w:rPr>
            <w:rStyle w:val="Hyperlink"/>
          </w:rPr>
          <w:t xml:space="preserve">Tavily</w:t>
        </w:r>
      </w:hyperlink>
      <w:r>
        <w:t xml:space="preserve"> </w:t>
      </w:r>
      <w:r>
        <w:t xml:space="preserve">and</w:t>
      </w:r>
      <w:r>
        <w:t xml:space="preserve"> </w:t>
      </w:r>
      <w:hyperlink r:id="rId55">
        <w:r>
          <w:rPr>
            <w:rStyle w:val="Hyperlink"/>
          </w:rPr>
          <w:t xml:space="preserve">Baseten</w:t>
        </w:r>
      </w:hyperlink>
      <w:r>
        <w:t xml:space="preserve"> </w:t>
      </w:r>
      <w:r>
        <w:t xml:space="preserve">to optimize our services.</w:t>
      </w:r>
      <w:r>
        <w:br w:type="textWrapping"/>
      </w: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6">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7">
              <w:r>
                <w:rPr>
                  <w:rStyle w:val="Hyperlink"/>
                </w:rPr>
                <w:t xml:space="preserve">OpenAI,</w:t>
              </w:r>
            </w:hyperlink>
            <w:r>
              <w:t xml:space="preserve"> </w:t>
            </w:r>
            <w:hyperlink r:id="rId58">
              <w:r>
                <w:rPr>
                  <w:rStyle w:val="Hyperlink"/>
                </w:rPr>
                <w:t xml:space="preserve">Google</w:t>
              </w:r>
            </w:hyperlink>
            <w:r>
              <w:t xml:space="preserve">,</w:t>
            </w:r>
            <w:r>
              <w:t xml:space="preserve"> </w:t>
            </w:r>
            <w:hyperlink r:id="rId59">
              <w:r>
                <w:rPr>
                  <w:rStyle w:val="Hyperlink"/>
                </w:rPr>
                <w:t xml:space="preserve">Anthropic</w:t>
              </w:r>
            </w:hyperlink>
            <w:r>
              <w:t xml:space="preserve">,</w:t>
            </w:r>
            <w:r>
              <w:t xml:space="preserve"> </w:t>
            </w:r>
            <w:hyperlink r:id="rId60">
              <w:r>
                <w:rPr>
                  <w:rStyle w:val="Hyperlink"/>
                </w:rPr>
                <w:t xml:space="preserve">xAI</w:t>
              </w:r>
            </w:hyperlink>
          </w:p>
        </w:tc>
        <w:tc>
          <w:p>
            <w:pPr>
              <w:pStyle w:val="Compact"/>
              <w:jc w:val="left"/>
            </w:pPr>
            <w:r>
              <w:t xml:space="preserve">OpenAI, Anthropic, Tavily: US Google: the EU, the US, and Asia (for more details, please visit</w:t>
            </w:r>
            <w:r>
              <w:t xml:space="preserve"> </w:t>
            </w:r>
            <w:hyperlink r:id="rId61">
              <w:r>
                <w:rPr>
                  <w:rStyle w:val="Hyperlink"/>
                </w:rPr>
                <w:t xml:space="preserve">this link</w:t>
              </w:r>
            </w:hyperlink>
            <w:r>
              <w:t xml:space="preserve">). xAI: US</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62">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cc0c03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58ff1d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61"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9"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50" Target="https://newrelic.com/privacy" TargetMode="External" /><Relationship Type="http://schemas.openxmlformats.org/officeDocument/2006/relationships/hyperlink" Id="rId57"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8"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9"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55" Target="https://www.baseten.co/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8" Target="https://www.goldcast.io/trust/priva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1"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2"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6" Target="https://www.jetbrains.com/legal/docs/terms/jetbrains-ai-service/" TargetMode="External" /><Relationship Type="http://schemas.openxmlformats.org/officeDocument/2006/relationships/hyperlink" Id="rId53"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4"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60" Target="https://x.ai/legal/privacy-policy" TargetMode="External" /><Relationship Type="http://schemas.openxmlformats.org/officeDocument/2006/relationships/hyperlink" Id="rId62"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61"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9"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50" Target="https://newrelic.com/privacy" TargetMode="External" /><Relationship Type="http://schemas.openxmlformats.org/officeDocument/2006/relationships/hyperlink" Id="rId57"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8"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9"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55" Target="https://www.baseten.co/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8" Target="https://www.goldcast.io/trust/priva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1"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2"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6" Target="https://www.jetbrains.com/legal/docs/terms/jetbrains-ai-service/" TargetMode="External" /><Relationship Type="http://schemas.openxmlformats.org/officeDocument/2006/relationships/hyperlink" Id="rId53"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4"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60" Target="https://x.ai/legal/privacy-policy" TargetMode="External" /><Relationship Type="http://schemas.openxmlformats.org/officeDocument/2006/relationships/hyperlink" Id="rId62"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2026-02-24T12:06:39Z</dcterms:created>
  <dcterms:modified xsi:type="dcterms:W3CDTF">2026-02-24T12:06:39Z</dcterms:modified>
</cp:coreProperties>
</file>