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rPr>
          <w:b/>
        </w:rPr>
        <w:t xml:space="preserve">License Vault Cloud Terms and Conditions</w:t>
      </w:r>
    </w:p>
    <w:p>
      <w:pPr>
        <w:pStyle w:val="FirstParagraph"/>
      </w:pPr>
      <w:r>
        <w:rPr>
          <w:b/>
        </w:rPr>
        <w:t xml:space="preserve">Version 1.3, effective as of February 01, 2024</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who are a legal entity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w:t>
      </w:r>
      <w:r>
        <w:t xml:space="preserve">) via the Product interface, and if a Subscription is available, License Vault will allow the Product to run and will allocate the Subscription to that specific User (</w:t>
      </w:r>
      <w:r>
        <w:t xml:space="preserve">”</w:t>
      </w:r>
      <w:r>
        <w:rPr>
          <w:b/>
        </w:rPr>
        <w:t xml:space="preserve">Allocate</w:t>
      </w:r>
      <w:r>
        <w:t xml:space="preserve">“</w:t>
      </w:r>
      <w:r>
        <w:t xml:space="preserve">) until it is returned to License Vault (</w:t>
      </w:r>
      <w:r>
        <w:t xml:space="preserve">”</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 </w:t>
      </w:r>
      <w:r>
        <w:t xml:space="preserve">("</w:t>
      </w:r>
      <w:r>
        <w:rPr>
          <w:b/>
        </w:rPr>
        <w:t xml:space="preserve">Enterprise Plan</w:t>
      </w:r>
      <w:r>
        <w:t xml:space="preserve">") – this includes Usage reporting, Enterprise Support (Section 1 of the Enterprise Plan Annex), Enterprise Service Level (the SLAs in Section 2 of the Enterprise Plan Annex), and other features as described in these Terms and the Documentation.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t xml:space="preserve"> </w:t>
      </w:r>
      <w:r>
        <w:rPr>
          <w:i/>
        </w:rPr>
        <w:t xml:space="preserve">Organization True-Up License Vault Plan</w:t>
      </w:r>
      <w:r>
        <w:t xml:space="preserve"> </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 days after it last connected to a License Vault.</w:t>
      </w:r>
    </w:p>
    <w:p>
      <w:pPr>
        <w:pStyle w:val="BodyText"/>
      </w:pPr>
      <w:r>
        <w:t xml:space="preserve">iii)</w:t>
      </w:r>
      <w:r>
        <w:t xml:space="preserve"> </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w:t>
      </w:r>
      <w:r>
        <w:t xml:space="preserve">). The Trial Plan is free and comes with a limited number of free Team Subscriptions (</w:t>
      </w:r>
      <w:r>
        <w:t xml:space="preserve">”</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Notice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t xml:space="preserve">”</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r>
        <w:t xml:space="preserve">https://www.jetbrains.com/legal/docs/store/terms/</w:t>
      </w:r>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49" w:name="temporary-suspension"/>
      <w:bookmarkEnd w:id="49"/>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0" w:name="term-and-termination"/>
      <w:bookmarkEnd w:id="50"/>
      <w:r>
        <w:t xml:space="preserve">8. Term and Termination</w:t>
      </w:r>
    </w:p>
    <w:p>
      <w:pPr>
        <w:pStyle w:val="Heading3"/>
      </w:pPr>
      <w:bookmarkStart w:id="51" w:name="a-term"/>
      <w:bookmarkEnd w:id="51"/>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2" w:name="b-termination-for-convenience"/>
      <w:bookmarkEnd w:id="52"/>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3" w:name="c-termination-for-breach"/>
      <w:bookmarkEnd w:id="53"/>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4" w:name="d-effect-of-termination"/>
      <w:bookmarkEnd w:id="54"/>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5" w:name="applicability-effect"/>
      <w:bookmarkEnd w:id="55"/>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6" w:name="warranties-disclaimers"/>
      <w:bookmarkEnd w:id="56"/>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7" w:name="governing-law-and-dispute-resolution"/>
      <w:bookmarkEnd w:id="57"/>
      <w:r>
        <w:t xml:space="preserve">11. Governing Law and Dispute Resolution </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8" w:name="general-provisions"/>
      <w:bookmarkEnd w:id="58"/>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59" w:name="enterprise-plan-annex"/>
      <w:bookmarkEnd w:id="59"/>
      <w:r>
        <w:t xml:space="preserve">Enterprise Plan Annex</w:t>
      </w:r>
    </w:p>
    <w:p>
      <w:pPr>
        <w:pStyle w:val="FirstParagraph"/>
      </w:pPr>
      <w:r>
        <w:t xml:space="preserve">Your License Vault with Enterprise Plan includes Enterprise Support and Enterprise Service Level ("</w:t>
      </w:r>
      <w:r>
        <w:rPr>
          <w:b/>
        </w:rPr>
        <w:t xml:space="preserve">SLA</w:t>
      </w:r>
      <w:r>
        <w:t xml:space="preserve">").</w:t>
      </w:r>
    </w:p>
    <w:p>
      <w:pPr>
        <w:pStyle w:val="Heading2"/>
      </w:pPr>
      <w:bookmarkStart w:id="60" w:name="enterprise-support"/>
      <w:bookmarkEnd w:id="60"/>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tblPr>
      <w:tblGrid/>
      <w:tr>
        <w:tc>
          <w:p>
            <w:pPr>
              <w:pStyle w:val="Compact"/>
              <w:jc w:val="left"/>
            </w:pPr>
            <w:r>
              <w:t xml:space="preserve">Priority</w:t>
            </w:r>
          </w:p>
        </w:tc>
        <w:tc>
          <w:p>
            <w:pPr>
              <w:pStyle w:val="Compact"/>
              <w:jc w:val="left"/>
            </w:pPr>
            <w:r>
              <w:t xml:space="preserve">Description</w:t>
            </w:r>
          </w:p>
        </w:tc>
        <w:tc>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1" w:name="enterprise-service-level-sla"/>
      <w:bookmarkEnd w:id="61"/>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2" w:name="remedies-for-sla-failures"/>
      <w:bookmarkEnd w:id="62"/>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tblPr>
      <w:tblGrid/>
      <w:tr>
        <w:tc>
          <w:p>
            <w:pPr>
              <w:pStyle w:val="Compact"/>
              <w:jc w:val="left"/>
            </w:pPr>
            <w:r>
              <w:t xml:space="preserve">Achieved Uptime Percentage</w:t>
            </w:r>
          </w:p>
        </w:tc>
        <w:tc>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6c943c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2025-12-11T14:56:45Z</dcterms:created>
  <dcterms:modified xsi:type="dcterms:W3CDTF">2025-12-11T14:56:45Z</dcterms:modified>
</cp:coreProperties>
</file>