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command-line-tools"/>
      <w:bookmarkEnd w:id="21"/>
      <w:r>
        <w:t xml:space="preserve">License Agreement for dotMemory Command Line Tools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dotMemory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a610a1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Memory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Memory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2025-12-11T14:50:14Z</dcterms:created>
  <dcterms:modified xsi:type="dcterms:W3CDTF">2025-12-11T14:50:14Z</dcterms:modified>
</cp:coreProperties>
</file>