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1.2, effective as of December 2, 2025</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Data Retention Policy</w:t>
      </w:r>
      <w:r>
        <w:t xml:space="preserve">” means the JetBrains Team Tools Data Retention Policy available at</w:t>
      </w:r>
      <w:r>
        <w:t xml:space="preserve"> </w:t>
      </w:r>
      <w:hyperlink r:id="rId26">
        <w:r>
          <w:rPr>
            <w:rStyle w:val="Hyperlink"/>
          </w:rPr>
          <w:t xml:space="preserve">https://www.jetbrains.com/legal/docs/agreements/teamware/</w:t>
        </w:r>
      </w:hyperlink>
      <w:r>
        <w:t xml:space="preserve">.</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7">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Acceptable Use Policy</w:t>
      </w:r>
      <w:r>
        <w:t xml:space="preserve">” means the JetBrains Products Acceptable Use Policy available at</w:t>
      </w:r>
      <w:r>
        <w:t xml:space="preserve"> </w:t>
      </w:r>
      <w:hyperlink r:id="rId28">
        <w:r>
          <w:rPr>
            <w:rStyle w:val="Hyperlink"/>
          </w:rPr>
          <w:t xml:space="preserve">https://www.jetbrains.com/legal/docs/terms/acceptable-use-policy</w:t>
        </w:r>
      </w:hyperlink>
      <w:r>
        <w:t xml:space="preserve">.</w:t>
      </w:r>
    </w:p>
    <w:p>
      <w:pPr>
        <w:pStyle w:val="BodyText"/>
      </w:pPr>
      <w:r>
        <w:t xml:space="preserve">“</w:t>
      </w:r>
      <w:r>
        <w:rPr>
          <w:b/>
        </w:rPr>
        <w:t xml:space="preserve">JetBrains Account</w:t>
      </w:r>
      <w:r>
        <w:t xml:space="preserve">” means an account created by You at</w:t>
      </w:r>
      <w:r>
        <w:t xml:space="preserve"> </w:t>
      </w:r>
      <w:hyperlink r:id="rId29">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30" w:name="subscriptions-rights-and-responsibilities"/>
      <w:bookmarkEnd w:id="30"/>
      <w:r>
        <w:t xml:space="preserve">3. Subscriptions, Rights, and Responsibilities</w:t>
      </w:r>
    </w:p>
    <w:p>
      <w:pPr>
        <w:pStyle w:val="Heading3"/>
      </w:pPr>
      <w:bookmarkStart w:id="31" w:name="a-subscriptions"/>
      <w:bookmarkEnd w:id="31"/>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numPr>
          <w:numId w:val="1001"/>
          <w:ilvl w:val="0"/>
        </w:numPr>
      </w:pPr>
      <w:r>
        <w:t xml:space="preserve">Monthly Subscriptions – Your Subscription Period ends on the last day of the same calendar month in which it started;</w:t>
      </w:r>
    </w:p>
    <w:p>
      <w:pPr>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numPr>
          <w:numId w:val="1002"/>
          <w:ilvl w:val="0"/>
        </w:numPr>
      </w:pPr>
      <w:r>
        <w:t xml:space="preserve">Monthly Subscriptions – Your Subscription Period ends on the last day of the following calendar month;</w:t>
      </w:r>
    </w:p>
    <w:p>
      <w:pPr>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qodana"/>
      <w:bookmarkEnd w:id="32"/>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Acceptable Use Policy;</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Heading3"/>
      </w:pPr>
      <w:bookmarkStart w:id="35" w:name="e-our-responsibilities"/>
      <w:bookmarkEnd w:id="35"/>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6" w:name="intellectual-property-rights-and-ownership"/>
      <w:bookmarkEnd w:id="36"/>
      <w:r>
        <w:t xml:space="preserve">4. Intellectual Property Rights and Ownership</w:t>
      </w:r>
    </w:p>
    <w:p>
      <w:pPr>
        <w:pStyle w:val="Heading3"/>
      </w:pPr>
      <w:bookmarkStart w:id="37" w:name="a-we-own-qodana"/>
      <w:bookmarkEnd w:id="37"/>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8" w:name="b-you-own-your-data"/>
      <w:bookmarkEnd w:id="38"/>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9" w:name="c-feedback"/>
      <w:bookmarkEnd w:id="39"/>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0" w:name="d-third-party-software"/>
      <w:bookmarkEnd w:id="40"/>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1">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2" w:name="access-and-your-data"/>
      <w:bookmarkEnd w:id="42"/>
      <w:r>
        <w:t xml:space="preserve">5. Access and Your Data</w:t>
      </w:r>
    </w:p>
    <w:p>
      <w:pPr>
        <w:pStyle w:val="Heading3"/>
      </w:pPr>
      <w:bookmarkStart w:id="43" w:name="a-access-control"/>
      <w:bookmarkEnd w:id="43"/>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4" w:name="b-permission-to-handle-your-data"/>
      <w:bookmarkEnd w:id="44"/>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t xml:space="preserve">We will retain and erase Your Data as described in the Data Retention Policy.</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5" w:name="fees-and-payments"/>
      <w:bookmarkEnd w:id="45"/>
      <w:r>
        <w:t xml:space="preserve">6. Fees and Payments</w:t>
      </w:r>
    </w:p>
    <w:p>
      <w:pPr>
        <w:pStyle w:val="Heading3"/>
      </w:pPr>
      <w:bookmarkStart w:id="46" w:name="a-subscription-fees"/>
      <w:bookmarkEnd w:id="46"/>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7" w:name="b-subscription-billing"/>
      <w:bookmarkEnd w:id="47"/>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e-payments"/>
      <w:bookmarkEnd w:id="48"/>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50" w:name="f-resolution-of-late-payments"/>
      <w:bookmarkEnd w:id="50"/>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1" w:name="support"/>
      <w:bookmarkEnd w:id="51"/>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2">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3" w:name="indemnification"/>
      <w:bookmarkEnd w:id="53"/>
      <w:r>
        <w:t xml:space="preserve">8. Indemnification</w:t>
      </w:r>
    </w:p>
    <w:p>
      <w:pPr>
        <w:pStyle w:val="Heading3"/>
      </w:pPr>
      <w:bookmarkStart w:id="54" w:name="a-indemnity"/>
      <w:bookmarkEnd w:id="5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5" w:name="b-indemnity-claims"/>
      <w:bookmarkEnd w:id="5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6" w:name="important-your-risk-and-our-disclaimers"/>
      <w:bookmarkEnd w:id="56"/>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7" w:name="important-limitation-of-our-liability"/>
      <w:bookmarkEnd w:id="57"/>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8" w:name="temporary-suspension"/>
      <w:bookmarkEnd w:id="58"/>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9" w:name="term-and-termination"/>
      <w:bookmarkEnd w:id="59"/>
      <w:r>
        <w:t xml:space="preserve">12. Term and Termination</w:t>
      </w:r>
    </w:p>
    <w:p>
      <w:pPr>
        <w:pStyle w:val="Heading3"/>
      </w:pPr>
      <w:bookmarkStart w:id="60" w:name="a-term"/>
      <w:bookmarkEnd w:id="60"/>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1" w:name="b-termination-by-you"/>
      <w:bookmarkEnd w:id="61"/>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2" w:name="c-termination-by-us"/>
      <w:bookmarkEnd w:id="62"/>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3" w:name="d-effect-of-termination"/>
      <w:bookmarkEnd w:id="63"/>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4" w:name="marketing"/>
      <w:bookmarkEnd w:id="64"/>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5" w:name="notices"/>
      <w:bookmarkEnd w:id="65"/>
      <w:r>
        <w:t xml:space="preserve">14. Notices</w:t>
      </w:r>
    </w:p>
    <w:p>
      <w:pPr>
        <w:pStyle w:val="Heading3"/>
      </w:pPr>
      <w:bookmarkStart w:id="66" w:name="a-notices-by-you"/>
      <w:bookmarkEnd w:id="66"/>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8" w:name="b-notices-by-us"/>
      <w:bookmarkEnd w:id="68"/>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9" w:name="export-control-laws"/>
      <w:bookmarkEnd w:id="69"/>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0">
        <w:r>
          <w:rPr>
            <w:rStyle w:val="Hyperlink"/>
          </w:rPr>
          <w:t xml:space="preserve">ethics@jetbrains.com</w:t>
        </w:r>
      </w:hyperlink>
      <w:r>
        <w:t xml:space="preserve">,</w:t>
      </w:r>
      <w:r>
        <w:t xml:space="preserve"> </w:t>
      </w:r>
      <w:hyperlink r:id="rId71">
        <w:r>
          <w:rPr>
            <w:rStyle w:val="Hyperlink"/>
          </w:rPr>
          <w:t xml:space="preserve">compliance@jetbrains.com</w:t>
        </w:r>
      </w:hyperlink>
      <w:r>
        <w:t xml:space="preserve">, or</w:t>
      </w:r>
      <w:r>
        <w:t xml:space="preserve"> </w:t>
      </w:r>
      <w:hyperlink r:id="rId6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2" w:name="general-provisions"/>
      <w:bookmarkEnd w:id="72"/>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Acceptable Use Policy.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numPr>
          <w:numId w:val="1004"/>
          <w:ilvl w:val="0"/>
        </w:numPr>
      </w:pPr>
      <w:r>
        <w:t xml:space="preserve">You have the legal capacity to enter into these Terms, or, if You are between the age of 13 and 18, You have valid consent from a parent or legal guardian to do so; and</w:t>
      </w:r>
    </w:p>
    <w:p>
      <w:pPr>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7">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9d7686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39c646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account.jetbrains.com" TargetMode="External" /><Relationship Type="http://schemas.openxmlformats.org/officeDocument/2006/relationships/hyperlink" Id="rId27" Target="https://www.jetbrains.com/help/teamcity/teamcity-documentation.html" TargetMode="External" /><Relationship Type="http://schemas.openxmlformats.org/officeDocument/2006/relationships/hyperlink" Id="rId26" Target="https://www.jetbrains.com/legal/docs/agreements/teamware/"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9" Target="https://www.jetbrains.com/legal/docs/store/terms/" TargetMode="External" /><Relationship Type="http://schemas.openxmlformats.org/officeDocument/2006/relationships/hyperlink" Id="rId28"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1" Target="https://www.jetbrains.com/legal/third-party-software/" TargetMode="External" /><Relationship Type="http://schemas.openxmlformats.org/officeDocument/2006/relationships/hyperlink" Id="rId71" Target="mailto:compliance@jetbrains.com" TargetMode="External" /><Relationship Type="http://schemas.openxmlformats.org/officeDocument/2006/relationships/hyperlink" Id="rId70" Target="mailto:ethics@jetbrains.com" TargetMode="External" /><Relationship Type="http://schemas.openxmlformats.org/officeDocument/2006/relationships/hyperlink" Id="rId67" Target="mailto:legal@jetbrains.com" TargetMode="External" /><Relationship Type="http://schemas.openxmlformats.org/officeDocument/2006/relationships/hyperlink" Id="rId52"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2025-12-11T15:06:36Z</dcterms:created>
  <dcterms:modified xsi:type="dcterms:W3CDTF">2025-12-11T15:06:36Z</dcterms:modified>
</cp:coreProperties>
</file>